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BEE1" w14:textId="77777777" w:rsidR="00724EF1" w:rsidRPr="00BD208F" w:rsidRDefault="00724EF1" w:rsidP="00724EF1">
      <w:pPr>
        <w:rPr>
          <w:lang w:val="en-US"/>
        </w:rPr>
      </w:pPr>
    </w:p>
    <w:p w14:paraId="23D9EA1B" w14:textId="77777777" w:rsidR="008A51E2" w:rsidRDefault="008A51E2" w:rsidP="008A51E2">
      <w:pPr>
        <w:pStyle w:val="af0"/>
        <w:shd w:val="clear" w:color="auto" w:fill="FFFFFF"/>
        <w:spacing w:before="0" w:beforeAutospacing="0" w:after="0" w:afterAutospacing="0" w:line="276" w:lineRule="auto"/>
        <w:jc w:val="center"/>
        <w:rPr>
          <w:b/>
          <w:bCs/>
          <w:color w:val="4472C4" w:themeColor="accent1"/>
          <w:sz w:val="32"/>
          <w:szCs w:val="32"/>
          <w:lang w:val="ru-RU"/>
        </w:rPr>
      </w:pPr>
      <w:r w:rsidRPr="00315C06">
        <w:rPr>
          <w:b/>
          <w:bCs/>
          <w:color w:val="4472C4" w:themeColor="accent1"/>
          <w:sz w:val="32"/>
          <w:szCs w:val="32"/>
          <w:lang w:val="ru-RU"/>
        </w:rPr>
        <w:t>Законодательные акты, регламентирующие деятельность</w:t>
      </w:r>
      <w:r>
        <w:rPr>
          <w:b/>
          <w:bCs/>
          <w:color w:val="4472C4" w:themeColor="accent1"/>
          <w:sz w:val="32"/>
          <w:szCs w:val="32"/>
          <w:lang w:val="ru-RU"/>
        </w:rPr>
        <w:t>:</w:t>
      </w:r>
    </w:p>
    <w:p w14:paraId="79F6E2C6" w14:textId="77777777" w:rsidR="008A51E2" w:rsidRDefault="008A51E2" w:rsidP="008A51E2">
      <w:pPr>
        <w:pStyle w:val="af0"/>
        <w:shd w:val="clear" w:color="auto" w:fill="FFFFFF"/>
        <w:spacing w:before="0" w:beforeAutospacing="0" w:after="0" w:afterAutospacing="0" w:line="276" w:lineRule="auto"/>
        <w:jc w:val="both"/>
        <w:rPr>
          <w:color w:val="333333"/>
          <w:lang w:val="ru-RU"/>
        </w:rPr>
      </w:pPr>
    </w:p>
    <w:p w14:paraId="214AF221" w14:textId="77777777" w:rsidR="008A51E2" w:rsidRDefault="008A51E2" w:rsidP="008A51E2">
      <w:pPr>
        <w:pStyle w:val="af0"/>
        <w:shd w:val="clear" w:color="auto" w:fill="FFFFFF"/>
        <w:spacing w:before="0" w:beforeAutospacing="0" w:after="0" w:afterAutospacing="0" w:line="276" w:lineRule="auto"/>
        <w:jc w:val="center"/>
        <w:rPr>
          <w:color w:val="333333"/>
          <w:lang w:val="ru-RU"/>
        </w:rPr>
      </w:pPr>
    </w:p>
    <w:p w14:paraId="5337A50B" w14:textId="77777777" w:rsidR="008A51E2" w:rsidRDefault="008A51E2" w:rsidP="008A51E2">
      <w:pPr>
        <w:pStyle w:val="af0"/>
        <w:shd w:val="clear" w:color="auto" w:fill="FFFFFF"/>
        <w:spacing w:before="0" w:beforeAutospacing="0" w:after="0" w:afterAutospacing="0" w:line="276" w:lineRule="auto"/>
        <w:jc w:val="both"/>
        <w:rPr>
          <w:color w:val="4472C4" w:themeColor="accent1"/>
          <w:lang w:val="ru-RU"/>
        </w:rPr>
      </w:pPr>
      <w:r w:rsidRPr="00315C06">
        <w:rPr>
          <w:color w:val="4472C4" w:themeColor="accent1"/>
          <w:lang w:val="ru-RU"/>
        </w:rPr>
        <w:t xml:space="preserve"> Данные законодательные акты можно найти в ИПС </w:t>
      </w:r>
      <w:r>
        <w:rPr>
          <w:color w:val="4472C4" w:themeColor="accent1"/>
          <w:lang w:val="ru-RU"/>
        </w:rPr>
        <w:t>«</w:t>
      </w:r>
      <w:r w:rsidRPr="00315C06">
        <w:rPr>
          <w:color w:val="4472C4" w:themeColor="accent1"/>
          <w:lang w:val="ru-RU"/>
        </w:rPr>
        <w:t>Эталон-онлайн</w:t>
      </w:r>
      <w:r>
        <w:rPr>
          <w:color w:val="4472C4" w:themeColor="accent1"/>
          <w:lang w:val="ru-RU"/>
        </w:rPr>
        <w:t>»</w:t>
      </w:r>
      <w:r w:rsidRPr="00315C06">
        <w:rPr>
          <w:color w:val="4472C4" w:themeColor="accent1"/>
          <w:lang w:val="ru-RU"/>
        </w:rPr>
        <w:t xml:space="preserve"> в Публичном</w:t>
      </w:r>
      <w:r>
        <w:rPr>
          <w:color w:val="4472C4" w:themeColor="accent1"/>
          <w:lang w:val="ru-RU"/>
        </w:rPr>
        <w:t xml:space="preserve"> </w:t>
      </w:r>
      <w:r w:rsidRPr="00315C06">
        <w:rPr>
          <w:color w:val="4472C4" w:themeColor="accent1"/>
          <w:lang w:val="ru-RU"/>
        </w:rPr>
        <w:t>центре правовой информации</w:t>
      </w:r>
      <w:r>
        <w:rPr>
          <w:color w:val="4472C4" w:themeColor="accent1"/>
          <w:lang w:val="ru-RU"/>
        </w:rPr>
        <w:t xml:space="preserve"> </w:t>
      </w:r>
      <w:r w:rsidRPr="00315C06">
        <w:rPr>
          <w:color w:val="4472C4" w:themeColor="accent1"/>
          <w:lang w:val="ru-RU"/>
        </w:rPr>
        <w:t>Лунинецкой цен</w:t>
      </w:r>
      <w:r>
        <w:rPr>
          <w:color w:val="4472C4" w:themeColor="accent1"/>
          <w:lang w:val="ru-RU"/>
        </w:rPr>
        <w:t>тральной районной библиотеки им. Н. Калинковича</w:t>
      </w:r>
    </w:p>
    <w:p w14:paraId="18C374A9" w14:textId="77777777" w:rsidR="008A51E2" w:rsidRDefault="008A51E2" w:rsidP="008A51E2">
      <w:pPr>
        <w:pStyle w:val="af0"/>
        <w:shd w:val="clear" w:color="auto" w:fill="FFFFFF"/>
        <w:spacing w:before="0" w:beforeAutospacing="0" w:after="0" w:afterAutospacing="0" w:line="276" w:lineRule="auto"/>
        <w:jc w:val="both"/>
        <w:rPr>
          <w:color w:val="4472C4" w:themeColor="accent1"/>
          <w:lang w:val="ru-RU"/>
        </w:rPr>
      </w:pPr>
    </w:p>
    <w:p w14:paraId="3AAB03E9" w14:textId="77777777" w:rsidR="008A51E2" w:rsidRPr="00222921" w:rsidRDefault="008A51E2" w:rsidP="008A51E2">
      <w:pPr>
        <w:jc w:val="both"/>
        <w:rPr>
          <w:rFonts w:eastAsia="Times New Roman" w:cs="Times New Roman"/>
          <w:color w:val="000000"/>
          <w:kern w:val="0"/>
          <w:sz w:val="24"/>
          <w:szCs w:val="24"/>
          <w:lang w:val="ru-RU" w:eastAsia="ru-BY"/>
          <w14:ligatures w14:val="none"/>
        </w:rPr>
      </w:pPr>
    </w:p>
    <w:p w14:paraId="1E399650" w14:textId="7CF42F3F" w:rsidR="008A51E2" w:rsidRPr="000B5170" w:rsidRDefault="008A51E2" w:rsidP="00CD643A">
      <w:pPr>
        <w:jc w:val="both"/>
        <w:rPr>
          <w:rFonts w:eastAsia="Times New Roman" w:cs="Times New Roman"/>
          <w:color w:val="000000"/>
          <w:kern w:val="0"/>
          <w:szCs w:val="28"/>
          <w:lang w:eastAsia="ru-BY"/>
          <w14:ligatures w14:val="none"/>
        </w:rPr>
      </w:pPr>
      <w:r w:rsidRPr="00222921">
        <w:rPr>
          <w:rFonts w:eastAsia="Times New Roman" w:cs="Times New Roman"/>
          <w:color w:val="000000"/>
          <w:kern w:val="0"/>
          <w:szCs w:val="28"/>
          <w:lang w:eastAsia="ru-BY"/>
          <w14:ligatures w14:val="none"/>
        </w:rPr>
        <w:t xml:space="preserve">Указ № 367 от 27 сентября 2021 г. </w:t>
      </w:r>
      <w:r>
        <w:rPr>
          <w:rFonts w:eastAsia="Times New Roman" w:cs="Times New Roman"/>
          <w:color w:val="000000"/>
          <w:kern w:val="0"/>
          <w:szCs w:val="28"/>
          <w:lang w:val="ru-RU" w:eastAsia="ru-BY"/>
          <w14:ligatures w14:val="none"/>
        </w:rPr>
        <w:t>«</w:t>
      </w:r>
      <w:r w:rsidRPr="00222921">
        <w:rPr>
          <w:rFonts w:eastAsia="Times New Roman" w:cs="Times New Roman"/>
          <w:color w:val="000000"/>
          <w:kern w:val="0"/>
          <w:szCs w:val="28"/>
          <w:lang w:eastAsia="ru-BY"/>
          <w14:ligatures w14:val="none"/>
        </w:rPr>
        <w:t>О добровольном страховании дополнительной накопительной пенсии</w:t>
      </w:r>
      <w:r>
        <w:rPr>
          <w:rFonts w:eastAsia="Times New Roman" w:cs="Times New Roman"/>
          <w:color w:val="000000"/>
          <w:kern w:val="0"/>
          <w:szCs w:val="28"/>
          <w:lang w:val="ru-RU" w:eastAsia="ru-BY"/>
          <w14:ligatures w14:val="none"/>
        </w:rPr>
        <w:t xml:space="preserve">». </w:t>
      </w:r>
    </w:p>
    <w:p w14:paraId="1D5F2CD2" w14:textId="77777777" w:rsidR="008A51E2" w:rsidRDefault="008A51E2" w:rsidP="00CD643A">
      <w:pPr>
        <w:pStyle w:val="af0"/>
        <w:shd w:val="clear" w:color="auto" w:fill="FFFFFF"/>
        <w:spacing w:before="0" w:beforeAutospacing="0" w:after="0" w:afterAutospacing="0" w:line="276" w:lineRule="auto"/>
        <w:jc w:val="both"/>
        <w:rPr>
          <w:color w:val="4472C4" w:themeColor="accent1"/>
          <w:lang w:val="ru-RU"/>
        </w:rPr>
      </w:pPr>
    </w:p>
    <w:p w14:paraId="67473B52"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32BB9A1F"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3B4504C7"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4705381F"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6CF94629"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18D52FD5"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0F36815C" w14:textId="77777777" w:rsidR="008A51E2" w:rsidRDefault="008A51E2" w:rsidP="008A51E2">
      <w:pPr>
        <w:pStyle w:val="af0"/>
        <w:shd w:val="clear" w:color="auto" w:fill="FFFFFF"/>
        <w:spacing w:before="0" w:beforeAutospacing="0" w:after="0" w:afterAutospacing="0" w:line="276" w:lineRule="auto"/>
        <w:jc w:val="center"/>
        <w:rPr>
          <w:color w:val="4472C4" w:themeColor="accent1"/>
          <w:lang w:val="ru-RU"/>
        </w:rPr>
      </w:pPr>
    </w:p>
    <w:p w14:paraId="53E4D432"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p>
    <w:p w14:paraId="62146F3A"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 xml:space="preserve"> Наш адрес:</w:t>
      </w:r>
    </w:p>
    <w:p w14:paraId="44FBE75A"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ПЦПИ</w:t>
      </w:r>
    </w:p>
    <w:p w14:paraId="0EE73506"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Центральная районная библиотека им. Н. Калинковича</w:t>
      </w:r>
    </w:p>
    <w:p w14:paraId="56E9EC0A"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ул. Фрунзе,12 г. Лунинец</w:t>
      </w:r>
    </w:p>
    <w:p w14:paraId="671112B3"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тел 2 06 22</w:t>
      </w:r>
    </w:p>
    <w:p w14:paraId="1507396B" w14:textId="77777777" w:rsidR="008A51E2" w:rsidRPr="00CD643A" w:rsidRDefault="008A51E2" w:rsidP="008A51E2">
      <w:pPr>
        <w:pStyle w:val="af0"/>
        <w:shd w:val="clear" w:color="auto" w:fill="FFFFFF"/>
        <w:spacing w:before="0" w:beforeAutospacing="0" w:after="0" w:afterAutospacing="0" w:line="276" w:lineRule="auto"/>
        <w:jc w:val="center"/>
        <w:rPr>
          <w:sz w:val="28"/>
          <w:szCs w:val="28"/>
          <w:lang w:val="ru-RU"/>
        </w:rPr>
      </w:pPr>
      <w:r w:rsidRPr="00CD643A">
        <w:rPr>
          <w:color w:val="4472C4" w:themeColor="accent1"/>
          <w:sz w:val="28"/>
          <w:szCs w:val="28"/>
          <w:lang w:val="ru-RU"/>
        </w:rPr>
        <w:t xml:space="preserve">электронная почта : </w:t>
      </w:r>
      <w:hyperlink r:id="rId7" w:history="1">
        <w:r w:rsidRPr="00CD643A">
          <w:rPr>
            <w:rStyle w:val="af1"/>
            <w:sz w:val="28"/>
            <w:szCs w:val="28"/>
            <w:lang w:val="en-US"/>
          </w:rPr>
          <w:t>lncrb</w:t>
        </w:r>
        <w:r w:rsidRPr="00CD643A">
          <w:rPr>
            <w:rStyle w:val="af1"/>
            <w:sz w:val="28"/>
            <w:szCs w:val="28"/>
            <w:lang w:val="ru-RU"/>
          </w:rPr>
          <w:t>@</w:t>
        </w:r>
        <w:r w:rsidRPr="00CD643A">
          <w:rPr>
            <w:rStyle w:val="af1"/>
            <w:sz w:val="28"/>
            <w:szCs w:val="28"/>
            <w:lang w:val="en-US"/>
          </w:rPr>
          <w:t>brest</w:t>
        </w:r>
        <w:r w:rsidRPr="00CD643A">
          <w:rPr>
            <w:rStyle w:val="af1"/>
            <w:sz w:val="28"/>
            <w:szCs w:val="28"/>
            <w:lang w:val="ru-RU"/>
          </w:rPr>
          <w:t>.</w:t>
        </w:r>
        <w:r w:rsidRPr="00CD643A">
          <w:rPr>
            <w:rStyle w:val="af1"/>
            <w:sz w:val="28"/>
            <w:szCs w:val="28"/>
            <w:lang w:val="en-US"/>
          </w:rPr>
          <w:t>by</w:t>
        </w:r>
      </w:hyperlink>
    </w:p>
    <w:p w14:paraId="51326FEC"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 xml:space="preserve">сайт: </w:t>
      </w:r>
      <w:r w:rsidRPr="00CD643A">
        <w:rPr>
          <w:color w:val="4472C4" w:themeColor="accent1"/>
          <w:sz w:val="28"/>
          <w:szCs w:val="28"/>
          <w:lang w:val="en-US"/>
        </w:rPr>
        <w:t>http</w:t>
      </w:r>
      <w:r w:rsidRPr="00CD643A">
        <w:rPr>
          <w:color w:val="4472C4" w:themeColor="accent1"/>
          <w:sz w:val="28"/>
          <w:szCs w:val="28"/>
          <w:lang w:val="be-BY"/>
        </w:rPr>
        <w:t>:</w:t>
      </w:r>
      <w:r w:rsidRPr="00CD643A">
        <w:rPr>
          <w:color w:val="4472C4" w:themeColor="accent1"/>
          <w:sz w:val="28"/>
          <w:szCs w:val="28"/>
          <w:lang w:val="ru-RU"/>
        </w:rPr>
        <w:t>//lncrb.</w:t>
      </w:r>
      <w:r w:rsidRPr="00CD643A">
        <w:rPr>
          <w:color w:val="4472C4" w:themeColor="accent1"/>
          <w:sz w:val="28"/>
          <w:szCs w:val="28"/>
          <w:lang w:val="en-US"/>
        </w:rPr>
        <w:t>by</w:t>
      </w:r>
    </w:p>
    <w:p w14:paraId="16FC9777"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p>
    <w:p w14:paraId="734B64D4" w14:textId="77777777" w:rsidR="008A51E2" w:rsidRPr="00CD643A" w:rsidRDefault="008A51E2" w:rsidP="008A51E2">
      <w:pPr>
        <w:pStyle w:val="af0"/>
        <w:shd w:val="clear" w:color="auto" w:fill="FFFFFF"/>
        <w:spacing w:before="0" w:beforeAutospacing="0" w:after="0" w:afterAutospacing="0" w:line="276" w:lineRule="auto"/>
        <w:jc w:val="center"/>
        <w:rPr>
          <w:color w:val="4472C4" w:themeColor="accent1"/>
          <w:sz w:val="28"/>
          <w:szCs w:val="28"/>
          <w:lang w:val="ru-RU"/>
        </w:rPr>
      </w:pPr>
      <w:r w:rsidRPr="00CD643A">
        <w:rPr>
          <w:color w:val="4472C4" w:themeColor="accent1"/>
          <w:sz w:val="28"/>
          <w:szCs w:val="28"/>
          <w:lang w:val="ru-RU"/>
        </w:rPr>
        <w:t xml:space="preserve">сост.: библиограф И. В. Бушило </w:t>
      </w:r>
    </w:p>
    <w:p w14:paraId="13448D89" w14:textId="77777777" w:rsidR="00361FFD" w:rsidRPr="00CD643A" w:rsidRDefault="00361FFD" w:rsidP="00BD208F">
      <w:pPr>
        <w:jc w:val="center"/>
        <w:rPr>
          <w:b/>
          <w:bCs/>
          <w:color w:val="00204F"/>
          <w:szCs w:val="28"/>
          <w:lang w:val="ru-RU"/>
        </w:rPr>
      </w:pPr>
    </w:p>
    <w:p w14:paraId="57796C62" w14:textId="77777777" w:rsidR="008A51E2" w:rsidRPr="008A51E2" w:rsidRDefault="008A51E2" w:rsidP="008A51E2">
      <w:pPr>
        <w:jc w:val="center"/>
        <w:rPr>
          <w:color w:val="0070C0"/>
        </w:rPr>
      </w:pPr>
      <w:r w:rsidRPr="008A51E2">
        <w:rPr>
          <w:color w:val="0070C0"/>
        </w:rPr>
        <w:t>ГУК «Лунинецкая централизованная библиотечная система»</w:t>
      </w:r>
    </w:p>
    <w:p w14:paraId="683FD6BF" w14:textId="77777777" w:rsidR="008A51E2" w:rsidRPr="008A51E2" w:rsidRDefault="008A51E2" w:rsidP="008A51E2">
      <w:pPr>
        <w:jc w:val="center"/>
        <w:rPr>
          <w:color w:val="0070C0"/>
        </w:rPr>
      </w:pPr>
      <w:r w:rsidRPr="008A51E2">
        <w:rPr>
          <w:color w:val="0070C0"/>
        </w:rPr>
        <w:t>Лунинецкая центральная районная библиотека им.</w:t>
      </w:r>
    </w:p>
    <w:p w14:paraId="741E53D8" w14:textId="77777777" w:rsidR="008A51E2" w:rsidRPr="008A51E2" w:rsidRDefault="008A51E2" w:rsidP="008A51E2">
      <w:pPr>
        <w:jc w:val="center"/>
        <w:rPr>
          <w:color w:val="0070C0"/>
        </w:rPr>
      </w:pPr>
      <w:r w:rsidRPr="008A51E2">
        <w:rPr>
          <w:color w:val="0070C0"/>
        </w:rPr>
        <w:t>Н. Калинковича</w:t>
      </w:r>
    </w:p>
    <w:p w14:paraId="4A838C57" w14:textId="77777777" w:rsidR="008A51E2" w:rsidRPr="008A51E2" w:rsidRDefault="008A51E2" w:rsidP="008A51E2">
      <w:pPr>
        <w:jc w:val="center"/>
        <w:rPr>
          <w:color w:val="0070C0"/>
          <w:lang w:val="ru-RU"/>
        </w:rPr>
      </w:pPr>
      <w:r w:rsidRPr="008A51E2">
        <w:rPr>
          <w:color w:val="0070C0"/>
        </w:rPr>
        <w:t>Публичный центр правовой информации</w:t>
      </w:r>
    </w:p>
    <w:p w14:paraId="096A2671" w14:textId="77777777" w:rsidR="00DF48E1" w:rsidRDefault="00DF48E1" w:rsidP="008A51E2">
      <w:pPr>
        <w:jc w:val="center"/>
        <w:rPr>
          <w:color w:val="0070C0"/>
          <w:lang w:val="ru-RU"/>
        </w:rPr>
      </w:pPr>
    </w:p>
    <w:p w14:paraId="75377528" w14:textId="1307BE68" w:rsidR="00DF48E1" w:rsidRDefault="00DF48E1" w:rsidP="008A51E2">
      <w:pPr>
        <w:jc w:val="center"/>
        <w:rPr>
          <w:color w:val="0070C0"/>
          <w:lang w:val="ru-RU"/>
        </w:rPr>
      </w:pPr>
      <w:r>
        <w:rPr>
          <w:noProof/>
        </w:rPr>
        <w:drawing>
          <wp:inline distT="0" distB="0" distL="0" distR="0" wp14:anchorId="2B204C1D" wp14:editId="0BCCAD59">
            <wp:extent cx="734400" cy="843677"/>
            <wp:effectExtent l="0" t="0" r="0" b="0"/>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224" cy="852665"/>
                    </a:xfrm>
                    <a:prstGeom prst="rect">
                      <a:avLst/>
                    </a:prstGeom>
                    <a:noFill/>
                    <a:ln>
                      <a:noFill/>
                    </a:ln>
                  </pic:spPr>
                </pic:pic>
              </a:graphicData>
            </a:graphic>
          </wp:inline>
        </w:drawing>
      </w:r>
    </w:p>
    <w:p w14:paraId="6EA9C089" w14:textId="77777777" w:rsidR="00DF48E1" w:rsidRDefault="00DF48E1" w:rsidP="008A51E2">
      <w:pPr>
        <w:jc w:val="center"/>
        <w:rPr>
          <w:color w:val="0070C0"/>
          <w:lang w:val="ru-RU"/>
        </w:rPr>
      </w:pPr>
    </w:p>
    <w:p w14:paraId="5E974D30" w14:textId="06B87D40" w:rsidR="008A51E2" w:rsidRPr="00BD208F" w:rsidRDefault="008A51E2" w:rsidP="008A51E2">
      <w:pPr>
        <w:jc w:val="center"/>
        <w:rPr>
          <w:b/>
          <w:bCs/>
          <w:color w:val="002465"/>
          <w:lang w:val="ru-RU"/>
        </w:rPr>
      </w:pPr>
      <w:r w:rsidRPr="00BD208F">
        <w:rPr>
          <w:b/>
          <w:bCs/>
          <w:color w:val="002465"/>
          <w:lang w:val="ru-RU"/>
        </w:rPr>
        <w:t xml:space="preserve"> ПЕНСИОННОЕ ПРАВО</w:t>
      </w:r>
    </w:p>
    <w:p w14:paraId="59E783F6" w14:textId="77777777" w:rsidR="008A51E2" w:rsidRDefault="008A51E2" w:rsidP="008A51E2">
      <w:pPr>
        <w:jc w:val="center"/>
        <w:rPr>
          <w:lang w:val="ru-RU"/>
        </w:rPr>
      </w:pPr>
    </w:p>
    <w:p w14:paraId="5D378495" w14:textId="4D317204" w:rsidR="00361FFD" w:rsidRDefault="008A51E2" w:rsidP="00BD208F">
      <w:pPr>
        <w:jc w:val="center"/>
        <w:rPr>
          <w:b/>
          <w:bCs/>
          <w:color w:val="00204F"/>
          <w:lang w:val="ru-RU"/>
        </w:rPr>
      </w:pPr>
      <w:r>
        <w:rPr>
          <w:b/>
          <w:bCs/>
          <w:noProof/>
          <w:color w:val="00204F"/>
          <w:lang w:val="ru-RU"/>
        </w:rPr>
        <w:drawing>
          <wp:inline distT="0" distB="0" distL="0" distR="0" wp14:anchorId="4A88C76D" wp14:editId="28C6034F">
            <wp:extent cx="2960120" cy="2116800"/>
            <wp:effectExtent l="0" t="0" r="0" b="0"/>
            <wp:docPr id="16219947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184" cy="2118276"/>
                    </a:xfrm>
                    <a:prstGeom prst="rect">
                      <a:avLst/>
                    </a:prstGeom>
                    <a:noFill/>
                  </pic:spPr>
                </pic:pic>
              </a:graphicData>
            </a:graphic>
          </wp:inline>
        </w:drawing>
      </w:r>
    </w:p>
    <w:p w14:paraId="5A38E72D" w14:textId="77777777" w:rsidR="00361FFD" w:rsidRDefault="00361FFD" w:rsidP="00BD208F">
      <w:pPr>
        <w:jc w:val="center"/>
        <w:rPr>
          <w:b/>
          <w:bCs/>
          <w:color w:val="00204F"/>
          <w:lang w:val="ru-RU"/>
        </w:rPr>
      </w:pPr>
    </w:p>
    <w:p w14:paraId="0E284106" w14:textId="77777777" w:rsidR="00361FFD" w:rsidRDefault="00361FFD" w:rsidP="00BD208F">
      <w:pPr>
        <w:jc w:val="center"/>
        <w:rPr>
          <w:b/>
          <w:bCs/>
          <w:color w:val="00204F"/>
          <w:lang w:val="ru-RU"/>
        </w:rPr>
      </w:pPr>
    </w:p>
    <w:p w14:paraId="493F12E0" w14:textId="77777777" w:rsidR="00361FFD" w:rsidRDefault="00361FFD" w:rsidP="00BD208F">
      <w:pPr>
        <w:jc w:val="center"/>
        <w:rPr>
          <w:b/>
          <w:bCs/>
          <w:color w:val="00204F"/>
          <w:lang w:val="ru-RU"/>
        </w:rPr>
      </w:pPr>
    </w:p>
    <w:p w14:paraId="5EA05C4A" w14:textId="77777777" w:rsidR="00361FFD" w:rsidRDefault="00361FFD" w:rsidP="00BD208F">
      <w:pPr>
        <w:jc w:val="center"/>
        <w:rPr>
          <w:b/>
          <w:bCs/>
          <w:color w:val="00204F"/>
          <w:lang w:val="ru-RU"/>
        </w:rPr>
      </w:pPr>
    </w:p>
    <w:p w14:paraId="4CC1392E" w14:textId="77777777" w:rsidR="006A4719" w:rsidRDefault="006A4719" w:rsidP="00BD208F">
      <w:pPr>
        <w:jc w:val="center"/>
        <w:rPr>
          <w:b/>
          <w:bCs/>
          <w:color w:val="00204F"/>
          <w:lang w:val="ru-RU"/>
        </w:rPr>
      </w:pPr>
    </w:p>
    <w:p w14:paraId="4FBF2018" w14:textId="77777777" w:rsidR="00DF48E1" w:rsidRPr="00BD208F" w:rsidRDefault="00DF48E1" w:rsidP="00DF48E1">
      <w:pPr>
        <w:jc w:val="center"/>
        <w:rPr>
          <w:b/>
          <w:bCs/>
          <w:color w:val="002465"/>
          <w:lang w:val="ru-RU"/>
        </w:rPr>
      </w:pPr>
      <w:r w:rsidRPr="00BD208F">
        <w:rPr>
          <w:b/>
          <w:bCs/>
          <w:color w:val="002465"/>
          <w:lang w:val="ru-RU"/>
        </w:rPr>
        <w:t>Лунинец, 2026</w:t>
      </w:r>
    </w:p>
    <w:p w14:paraId="52C26915" w14:textId="77777777" w:rsidR="006A4719" w:rsidRDefault="006A4719" w:rsidP="00BD208F">
      <w:pPr>
        <w:jc w:val="center"/>
        <w:rPr>
          <w:b/>
          <w:bCs/>
          <w:color w:val="00204F"/>
          <w:lang w:val="ru-RU"/>
        </w:rPr>
      </w:pPr>
    </w:p>
    <w:p w14:paraId="44BCD5D2" w14:textId="77777777" w:rsidR="00361FFD" w:rsidRDefault="00361FFD" w:rsidP="00BD208F">
      <w:pPr>
        <w:jc w:val="center"/>
        <w:rPr>
          <w:b/>
          <w:bCs/>
          <w:color w:val="00204F"/>
          <w:lang w:val="ru-RU"/>
        </w:rPr>
      </w:pPr>
    </w:p>
    <w:p w14:paraId="3FE4B3BC" w14:textId="014C9152" w:rsidR="008A51E2" w:rsidRPr="00CE3BA1" w:rsidRDefault="008A51E2" w:rsidP="008A51E2">
      <w:pPr>
        <w:jc w:val="both"/>
        <w:rPr>
          <w:rFonts w:eastAsia="Times New Roman" w:cs="Times New Roman"/>
          <w:b/>
          <w:bCs/>
          <w:color w:val="002465"/>
          <w:kern w:val="0"/>
          <w:sz w:val="24"/>
          <w:szCs w:val="24"/>
          <w:lang w:eastAsia="ru-BY"/>
          <w14:ligatures w14:val="none"/>
        </w:rPr>
      </w:pPr>
      <w:r w:rsidRPr="00BD208F">
        <w:rPr>
          <w:rFonts w:eastAsia="Times New Roman" w:cs="Times New Roman"/>
          <w:b/>
          <w:bCs/>
          <w:color w:val="002465"/>
          <w:kern w:val="0"/>
          <w:sz w:val="24"/>
          <w:szCs w:val="24"/>
          <w:lang w:eastAsia="ru-BY"/>
          <w14:ligatures w14:val="none"/>
        </w:rPr>
        <w:lastRenderedPageBreak/>
        <w:t>C 1 октября 2022 года в Беларуси можно уплачивать страховые взносы на накопительную пенсию. Это предусмотрено Указом Президента за № 367 «</w:t>
      </w:r>
      <w:hyperlink r:id="rId10" w:tgtFrame="_blank" w:history="1">
        <w:r w:rsidRPr="00CE3BA1">
          <w:rPr>
            <w:rFonts w:eastAsia="Times New Roman" w:cs="Times New Roman"/>
            <w:b/>
            <w:bCs/>
            <w:color w:val="002465"/>
            <w:kern w:val="0"/>
            <w:sz w:val="24"/>
            <w:szCs w:val="24"/>
            <w:lang w:eastAsia="ru-BY"/>
            <w14:ligatures w14:val="none"/>
          </w:rPr>
          <w:t>О добровольном страховании дополнительной накопительной пенсии</w:t>
        </w:r>
      </w:hyperlink>
      <w:r w:rsidRPr="00CE3BA1">
        <w:rPr>
          <w:rFonts w:eastAsia="Times New Roman" w:cs="Times New Roman"/>
          <w:b/>
          <w:bCs/>
          <w:color w:val="002465"/>
          <w:kern w:val="0"/>
          <w:sz w:val="24"/>
          <w:szCs w:val="24"/>
          <w:lang w:eastAsia="ru-BY"/>
          <w14:ligatures w14:val="none"/>
        </w:rPr>
        <w:t>».</w:t>
      </w:r>
    </w:p>
    <w:p w14:paraId="43CFFEAD" w14:textId="77777777" w:rsidR="008A51E2" w:rsidRPr="00CE3BA1" w:rsidRDefault="008A51E2" w:rsidP="008A51E2">
      <w:pPr>
        <w:jc w:val="both"/>
        <w:rPr>
          <w:rFonts w:eastAsia="Times New Roman" w:cs="Times New Roman"/>
          <w:color w:val="000000"/>
          <w:kern w:val="0"/>
          <w:sz w:val="24"/>
          <w:szCs w:val="24"/>
          <w:lang w:eastAsia="ru-BY"/>
          <w14:ligatures w14:val="none"/>
        </w:rPr>
      </w:pPr>
    </w:p>
    <w:p w14:paraId="1D6A0259" w14:textId="77777777" w:rsidR="008A51E2" w:rsidRPr="00CE3BA1" w:rsidRDefault="008A51E2" w:rsidP="00CE3BA1">
      <w:pPr>
        <w:pStyle w:val="a7"/>
        <w:numPr>
          <w:ilvl w:val="0"/>
          <w:numId w:val="2"/>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Вступление работника в новую программу никак не отразится на его трудовой (солидарной) пенсии. Ее размер будет определяться по тем же правилам, что и у работников, не участвующих в добровольном страховании – исходя из показателей стажа и заработка до обращения за пенсией.</w:t>
      </w:r>
    </w:p>
    <w:p w14:paraId="1EDD54CA" w14:textId="7EE6392D" w:rsidR="008A51E2" w:rsidRPr="00CE3BA1" w:rsidRDefault="008A51E2" w:rsidP="00CE3BA1">
      <w:pPr>
        <w:pStyle w:val="a7"/>
        <w:numPr>
          <w:ilvl w:val="0"/>
          <w:numId w:val="2"/>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 xml:space="preserve">Согласно Указу право участвовать в новом виде страхования предоставляется работникам, за которых работодатели уплачивают обязательные взносы в бюджет фонда соцзащиты населения. </w:t>
      </w:r>
    </w:p>
    <w:p w14:paraId="2A36AC28" w14:textId="01EECD8A" w:rsidR="008A51E2" w:rsidRPr="00CE3BA1" w:rsidRDefault="008A51E2" w:rsidP="00CE3BA1">
      <w:pPr>
        <w:pStyle w:val="a7"/>
        <w:numPr>
          <w:ilvl w:val="0"/>
          <w:numId w:val="2"/>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К данной категории относятся граждане Республики Беларусь, иностранные граждане и лица без гражданства, работающие по трудовым договорам и (или) гражданско-правовым договорам</w:t>
      </w:r>
    </w:p>
    <w:p w14:paraId="0E7733A1" w14:textId="77777777" w:rsidR="008A51E2" w:rsidRDefault="008A51E2" w:rsidP="008A51E2">
      <w:pPr>
        <w:rPr>
          <w:rFonts w:eastAsia="Times New Roman" w:cs="Times New Roman"/>
          <w:color w:val="000000"/>
          <w:kern w:val="0"/>
          <w:szCs w:val="28"/>
          <w:lang w:eastAsia="ru-BY"/>
          <w14:ligatures w14:val="none"/>
        </w:rPr>
      </w:pPr>
    </w:p>
    <w:p w14:paraId="5A4DCA87" w14:textId="0DA55B32" w:rsidR="00DE68F9" w:rsidRPr="00BD208F" w:rsidRDefault="008A51E2" w:rsidP="00BD208F">
      <w:pPr>
        <w:jc w:val="center"/>
        <w:rPr>
          <w:b/>
          <w:bCs/>
          <w:color w:val="00204F"/>
          <w:lang w:val="ru-RU"/>
        </w:rPr>
      </w:pPr>
      <w:r>
        <w:rPr>
          <w:b/>
          <w:bCs/>
          <w:color w:val="00204F"/>
          <w:lang w:val="ru-RU"/>
        </w:rPr>
        <w:t>Д</w:t>
      </w:r>
      <w:r w:rsidR="00DE68F9" w:rsidRPr="00BD208F">
        <w:rPr>
          <w:b/>
          <w:bCs/>
          <w:color w:val="00204F"/>
          <w:lang w:val="ru-RU"/>
        </w:rPr>
        <w:t>ля участников новой программы предусмотрены следующие финансовые стимулы:</w:t>
      </w:r>
    </w:p>
    <w:p w14:paraId="755F7CB9" w14:textId="77777777" w:rsidR="00DE68F9" w:rsidRPr="00BD208F" w:rsidRDefault="00DE68F9" w:rsidP="00BD208F">
      <w:pPr>
        <w:jc w:val="center"/>
        <w:rPr>
          <w:b/>
          <w:bCs/>
          <w:color w:val="00204F"/>
          <w:lang w:val="ru-RU"/>
        </w:rPr>
      </w:pPr>
    </w:p>
    <w:p w14:paraId="6B40C3AF" w14:textId="77777777" w:rsidR="00DE68F9" w:rsidRPr="00CE3BA1" w:rsidRDefault="00DE68F9" w:rsidP="00CE3BA1">
      <w:pPr>
        <w:pStyle w:val="a7"/>
        <w:numPr>
          <w:ilvl w:val="0"/>
          <w:numId w:val="3"/>
        </w:numPr>
        <w:jc w:val="both"/>
        <w:rPr>
          <w:rFonts w:ascii="Times New Roman" w:hAnsi="Times New Roman" w:cs="Times New Roman"/>
          <w:sz w:val="24"/>
          <w:szCs w:val="24"/>
          <w:lang w:val="ru-RU"/>
        </w:rPr>
      </w:pPr>
      <w:r w:rsidRPr="00CE3BA1">
        <w:rPr>
          <w:rFonts w:ascii="Times New Roman" w:hAnsi="Times New Roman" w:cs="Times New Roman"/>
          <w:sz w:val="24"/>
          <w:szCs w:val="24"/>
          <w:lang w:val="ru-RU"/>
        </w:rPr>
        <w:t>Льгота по подоходному налогу. Так, работникам предоставляется право на получение социального налогового вычета на сумму уплаченных за счет средств работника страховых взносов на будущую накопительную пенсию. Для получения этой льготы работнику нужно будет обратиться в бухгалтерию предприятия-работодателя.</w:t>
      </w:r>
    </w:p>
    <w:p w14:paraId="4B718DE8" w14:textId="32080AD7" w:rsidR="00DE68F9" w:rsidRPr="00CE3BA1" w:rsidRDefault="00DE68F9" w:rsidP="00CE3BA1">
      <w:pPr>
        <w:pStyle w:val="a7"/>
        <w:numPr>
          <w:ilvl w:val="0"/>
          <w:numId w:val="4"/>
        </w:numPr>
        <w:jc w:val="both"/>
        <w:rPr>
          <w:rFonts w:ascii="Times New Roman" w:hAnsi="Times New Roman" w:cs="Times New Roman"/>
          <w:sz w:val="24"/>
          <w:szCs w:val="24"/>
          <w:lang w:val="ru-RU"/>
        </w:rPr>
      </w:pPr>
      <w:r w:rsidRPr="00CE3BA1">
        <w:rPr>
          <w:rFonts w:ascii="Times New Roman" w:hAnsi="Times New Roman" w:cs="Times New Roman"/>
          <w:sz w:val="24"/>
          <w:szCs w:val="24"/>
          <w:lang w:val="ru-RU"/>
        </w:rPr>
        <w:t>Дополнительные накопительные пенсии освобождаются от подоходного налога с физических лиц.</w:t>
      </w:r>
      <w:r w:rsidR="008A51E2" w:rsidRPr="00CE3BA1">
        <w:rPr>
          <w:rFonts w:ascii="Times New Roman" w:hAnsi="Times New Roman" w:cs="Times New Roman"/>
          <w:sz w:val="24"/>
          <w:szCs w:val="24"/>
          <w:lang w:val="ru-RU"/>
        </w:rPr>
        <w:t xml:space="preserve"> </w:t>
      </w:r>
      <w:r w:rsidRPr="00CE3BA1">
        <w:rPr>
          <w:rFonts w:ascii="Times New Roman" w:hAnsi="Times New Roman" w:cs="Times New Roman"/>
          <w:sz w:val="24"/>
          <w:szCs w:val="24"/>
          <w:lang w:val="ru-RU"/>
        </w:rPr>
        <w:t>Предусматривается возможность наследования накопительной пенсии.</w:t>
      </w:r>
    </w:p>
    <w:p w14:paraId="28512176" w14:textId="77777777" w:rsidR="00A75462" w:rsidRPr="00BD208F" w:rsidRDefault="00A75462" w:rsidP="00DE68F9">
      <w:pPr>
        <w:rPr>
          <w:sz w:val="24"/>
          <w:szCs w:val="24"/>
          <w:lang w:val="ru-RU"/>
        </w:rPr>
      </w:pPr>
    </w:p>
    <w:p w14:paraId="2054EF54" w14:textId="376FF3B4" w:rsidR="00A75462" w:rsidRPr="00BD208F" w:rsidRDefault="00A75462" w:rsidP="00BD208F">
      <w:pPr>
        <w:jc w:val="center"/>
        <w:rPr>
          <w:b/>
          <w:bCs/>
          <w:color w:val="002465"/>
          <w:lang w:val="ru-RU"/>
        </w:rPr>
      </w:pPr>
      <w:r w:rsidRPr="00BD208F">
        <w:rPr>
          <w:b/>
          <w:bCs/>
          <w:color w:val="002465"/>
          <w:lang w:val="ru-RU"/>
        </w:rPr>
        <w:t>Гарантии вклада</w:t>
      </w:r>
    </w:p>
    <w:p w14:paraId="756E375D" w14:textId="77777777" w:rsidR="00A75462" w:rsidRPr="00A75462" w:rsidRDefault="00A75462" w:rsidP="00A75462">
      <w:pPr>
        <w:rPr>
          <w:lang w:val="ru-RU"/>
        </w:rPr>
      </w:pPr>
    </w:p>
    <w:p w14:paraId="204EE06D" w14:textId="667D5CD1" w:rsidR="00A75462" w:rsidRPr="00CE3BA1" w:rsidRDefault="00A75462" w:rsidP="00CE3BA1">
      <w:pPr>
        <w:pStyle w:val="a7"/>
        <w:numPr>
          <w:ilvl w:val="0"/>
          <w:numId w:val="5"/>
        </w:numPr>
        <w:jc w:val="both"/>
        <w:rPr>
          <w:rFonts w:ascii="Times New Roman" w:hAnsi="Times New Roman" w:cs="Times New Roman"/>
          <w:sz w:val="24"/>
          <w:szCs w:val="24"/>
          <w:lang w:val="ru-RU"/>
        </w:rPr>
      </w:pPr>
      <w:r w:rsidRPr="00CE3BA1">
        <w:rPr>
          <w:rFonts w:ascii="Times New Roman" w:hAnsi="Times New Roman" w:cs="Times New Roman"/>
          <w:sz w:val="24"/>
          <w:szCs w:val="24"/>
          <w:lang w:val="ru-RU"/>
        </w:rPr>
        <w:t xml:space="preserve">Выплаты по договорам страхования, заключенным с государственными страховыми организациями, гарантируются государством. Страховщик ежемесячно отчисляет часть взносов в гарантийный фонд. </w:t>
      </w:r>
    </w:p>
    <w:p w14:paraId="62A32B9D" w14:textId="77777777" w:rsidR="008A51E2" w:rsidRPr="00CE3BA1" w:rsidRDefault="008A51E2" w:rsidP="00CE3BA1">
      <w:pPr>
        <w:pStyle w:val="a7"/>
        <w:numPr>
          <w:ilvl w:val="0"/>
          <w:numId w:val="5"/>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Срок до пенсии должен составлять минимум 3 года</w:t>
      </w:r>
    </w:p>
    <w:p w14:paraId="28CD239E" w14:textId="77777777" w:rsidR="008A51E2" w:rsidRPr="00CE3BA1" w:rsidRDefault="008A51E2" w:rsidP="00CE3BA1">
      <w:pPr>
        <w:pStyle w:val="a7"/>
        <w:numPr>
          <w:ilvl w:val="0"/>
          <w:numId w:val="5"/>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Работник, желающий участвовать в страховании, с 1 октября 2022 года сможет уплачивать дополнительный взнос на накопительную пенсию (в дополнение к обязательному взносу на трудовую пенсию).</w:t>
      </w:r>
    </w:p>
    <w:p w14:paraId="60DC285B" w14:textId="77777777" w:rsidR="008A51E2" w:rsidRPr="00CE3BA1" w:rsidRDefault="008A51E2" w:rsidP="008A51E2">
      <w:pPr>
        <w:jc w:val="both"/>
        <w:rPr>
          <w:rFonts w:eastAsia="Times New Roman" w:cs="Times New Roman"/>
          <w:color w:val="000000"/>
          <w:kern w:val="0"/>
          <w:sz w:val="24"/>
          <w:szCs w:val="24"/>
          <w:lang w:eastAsia="ru-BY"/>
          <w14:ligatures w14:val="none"/>
        </w:rPr>
      </w:pPr>
    </w:p>
    <w:p w14:paraId="30559FA9" w14:textId="77777777" w:rsidR="008A51E2" w:rsidRPr="00BD208F" w:rsidRDefault="008A51E2" w:rsidP="008A51E2">
      <w:pPr>
        <w:rPr>
          <w:rFonts w:eastAsia="Times New Roman" w:cs="Times New Roman"/>
          <w:b/>
          <w:bCs/>
          <w:color w:val="002465"/>
          <w:kern w:val="0"/>
          <w:szCs w:val="28"/>
          <w:lang w:eastAsia="ru-BY"/>
          <w14:ligatures w14:val="none"/>
        </w:rPr>
      </w:pPr>
      <w:r w:rsidRPr="00BD208F">
        <w:rPr>
          <w:rFonts w:eastAsia="Times New Roman" w:cs="Times New Roman"/>
          <w:b/>
          <w:bCs/>
          <w:color w:val="002465"/>
          <w:kern w:val="0"/>
          <w:szCs w:val="28"/>
          <w:lang w:eastAsia="ru-BY"/>
          <w14:ligatures w14:val="none"/>
        </w:rPr>
        <w:t>Работник сам определяет процент страхового взноса</w:t>
      </w:r>
    </w:p>
    <w:p w14:paraId="5FDAE19F" w14:textId="77777777" w:rsidR="008A51E2" w:rsidRPr="000B5170" w:rsidRDefault="008A51E2" w:rsidP="008A51E2">
      <w:pPr>
        <w:rPr>
          <w:rFonts w:eastAsia="Times New Roman" w:cs="Times New Roman"/>
          <w:color w:val="000000"/>
          <w:kern w:val="0"/>
          <w:szCs w:val="28"/>
          <w:lang w:eastAsia="ru-BY"/>
          <w14:ligatures w14:val="none"/>
        </w:rPr>
      </w:pPr>
    </w:p>
    <w:p w14:paraId="6B0E78AF" w14:textId="77777777" w:rsidR="008A51E2" w:rsidRPr="00CE3BA1" w:rsidRDefault="008A51E2" w:rsidP="00CE3BA1">
      <w:pPr>
        <w:pStyle w:val="a7"/>
        <w:numPr>
          <w:ilvl w:val="0"/>
          <w:numId w:val="6"/>
        </w:numPr>
        <w:jc w:val="both"/>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Размер страхового взноса – в процентах от фактической заработной платы работник выбирает сам. Максимальный (предельный) размер дополнительного взноса работника – 10 %.</w:t>
      </w:r>
    </w:p>
    <w:p w14:paraId="0F75B563" w14:textId="77777777" w:rsidR="008A51E2" w:rsidRPr="00CE3BA1" w:rsidRDefault="008A51E2" w:rsidP="00CE3BA1">
      <w:pPr>
        <w:pStyle w:val="a7"/>
        <w:numPr>
          <w:ilvl w:val="0"/>
          <w:numId w:val="6"/>
        </w:numPr>
        <w:rPr>
          <w:rFonts w:ascii="Times New Roman" w:eastAsia="Times New Roman" w:hAnsi="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Работодатель в свою очередь должен будет делать то же самое – уплачивать на работника дополнительный взнос в том же размере, но не превышающем 3 %.</w:t>
      </w:r>
    </w:p>
    <w:p w14:paraId="1EE84994" w14:textId="77777777" w:rsidR="008A51E2" w:rsidRPr="00CE3BA1" w:rsidRDefault="008A51E2" w:rsidP="00CE3BA1">
      <w:pPr>
        <w:pStyle w:val="a7"/>
        <w:numPr>
          <w:ilvl w:val="0"/>
          <w:numId w:val="6"/>
        </w:numPr>
        <w:jc w:val="both"/>
        <w:rPr>
          <w:rFonts w:eastAsia="Times New Roman" w:cs="Times New Roman"/>
          <w:color w:val="000000"/>
          <w:kern w:val="0"/>
          <w:sz w:val="24"/>
          <w:szCs w:val="24"/>
          <w:lang w:eastAsia="ru-BY"/>
          <w14:ligatures w14:val="none"/>
        </w:rPr>
      </w:pPr>
      <w:r w:rsidRPr="00CE3BA1">
        <w:rPr>
          <w:rFonts w:ascii="Times New Roman" w:eastAsia="Times New Roman" w:hAnsi="Times New Roman" w:cs="Times New Roman"/>
          <w:color w:val="000000"/>
          <w:kern w:val="0"/>
          <w:sz w:val="24"/>
          <w:szCs w:val="24"/>
          <w:lang w:eastAsia="ru-BY"/>
          <w14:ligatures w14:val="none"/>
        </w:rPr>
        <w:t>Накопленные средства пенсионеры будут получать равными долями ежемесячно на протяжении 5 или 10 лет</w:t>
      </w:r>
      <w:r w:rsidRPr="00CE3BA1">
        <w:rPr>
          <w:rFonts w:eastAsia="Times New Roman" w:cs="Times New Roman"/>
          <w:color w:val="000000"/>
          <w:kern w:val="0"/>
          <w:sz w:val="24"/>
          <w:szCs w:val="24"/>
          <w:lang w:eastAsia="ru-BY"/>
          <w14:ligatures w14:val="none"/>
        </w:rPr>
        <w:t>.</w:t>
      </w:r>
    </w:p>
    <w:p w14:paraId="61595D0F" w14:textId="77777777" w:rsidR="008A51E2" w:rsidRPr="00BD208F" w:rsidRDefault="008A51E2" w:rsidP="008A51E2">
      <w:pPr>
        <w:jc w:val="center"/>
        <w:rPr>
          <w:rFonts w:eastAsia="Times New Roman" w:cs="Times New Roman"/>
          <w:b/>
          <w:bCs/>
          <w:color w:val="002465"/>
          <w:kern w:val="0"/>
          <w:szCs w:val="28"/>
          <w:lang w:eastAsia="ru-BY"/>
          <w14:ligatures w14:val="none"/>
        </w:rPr>
      </w:pPr>
      <w:r w:rsidRPr="00BD208F">
        <w:rPr>
          <w:rFonts w:eastAsia="Times New Roman" w:cs="Times New Roman"/>
          <w:b/>
          <w:bCs/>
          <w:color w:val="002465"/>
          <w:kern w:val="0"/>
          <w:szCs w:val="28"/>
          <w:lang w:eastAsia="ru-BY"/>
          <w14:ligatures w14:val="none"/>
        </w:rPr>
        <w:t>Предусмотрены финансовые стимулы</w:t>
      </w:r>
    </w:p>
    <w:p w14:paraId="3C53F565" w14:textId="77777777" w:rsidR="008A51E2" w:rsidRPr="000B5170" w:rsidRDefault="008A51E2" w:rsidP="008A51E2">
      <w:pPr>
        <w:rPr>
          <w:rFonts w:eastAsia="Times New Roman" w:cs="Times New Roman"/>
          <w:color w:val="000000"/>
          <w:kern w:val="0"/>
          <w:szCs w:val="28"/>
          <w:lang w:eastAsia="ru-BY"/>
          <w14:ligatures w14:val="none"/>
        </w:rPr>
      </w:pPr>
    </w:p>
    <w:p w14:paraId="3FBA4A14" w14:textId="24D95913" w:rsidR="0026475B" w:rsidRPr="00E62ECC" w:rsidRDefault="008A51E2" w:rsidP="00FA10CA">
      <w:pPr>
        <w:pStyle w:val="a7"/>
        <w:numPr>
          <w:ilvl w:val="0"/>
          <w:numId w:val="7"/>
        </w:numPr>
        <w:jc w:val="both"/>
        <w:rPr>
          <w:rFonts w:ascii="Times New Roman" w:hAnsi="Times New Roman" w:cs="Times New Roman"/>
          <w:lang w:val="ru-RU"/>
        </w:rPr>
      </w:pPr>
      <w:r w:rsidRPr="00CE3BA1">
        <w:rPr>
          <w:rFonts w:ascii="Times New Roman" w:eastAsia="Times New Roman" w:hAnsi="Times New Roman" w:cs="Times New Roman"/>
          <w:color w:val="000000"/>
          <w:kern w:val="0"/>
          <w:sz w:val="24"/>
          <w:szCs w:val="24"/>
          <w:lang w:eastAsia="ru-BY"/>
          <w14:ligatures w14:val="none"/>
        </w:rPr>
        <w:t>Указом установлено, что страховые резервы по накопительному пенсионному страхованию будут размещаться на счетах в банках и вкладываться в объекты инвестиций в общеустановленном для страховых организаций порядке.</w:t>
      </w:r>
    </w:p>
    <w:p w14:paraId="399CA8A6" w14:textId="77777777" w:rsidR="00FA10CA" w:rsidRDefault="00FA10CA" w:rsidP="00FA10CA">
      <w:pPr>
        <w:rPr>
          <w:lang w:val="ru-RU"/>
        </w:rPr>
      </w:pPr>
    </w:p>
    <w:p w14:paraId="124B2B44" w14:textId="77777777" w:rsidR="00222921" w:rsidRPr="00222921" w:rsidRDefault="00222921" w:rsidP="000B5170">
      <w:pPr>
        <w:jc w:val="both"/>
        <w:rPr>
          <w:rFonts w:eastAsia="Times New Roman" w:cs="Times New Roman"/>
          <w:color w:val="000000"/>
          <w:kern w:val="0"/>
          <w:sz w:val="24"/>
          <w:szCs w:val="24"/>
          <w:lang w:val="ru-RU" w:eastAsia="ru-BY"/>
          <w14:ligatures w14:val="none"/>
        </w:rPr>
      </w:pPr>
    </w:p>
    <w:sectPr w:rsidR="00222921" w:rsidRPr="00222921" w:rsidSect="007C54A7">
      <w:pgSz w:w="16838" w:h="11906" w:orient="landscape"/>
      <w:pgMar w:top="567" w:right="1134" w:bottom="850"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0EE2" w14:textId="77777777" w:rsidR="002A71BB" w:rsidRDefault="002A71BB" w:rsidP="00FA10CA">
      <w:r>
        <w:separator/>
      </w:r>
    </w:p>
  </w:endnote>
  <w:endnote w:type="continuationSeparator" w:id="0">
    <w:p w14:paraId="4C1527E8" w14:textId="77777777" w:rsidR="002A71BB" w:rsidRDefault="002A71BB" w:rsidP="00FA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82398" w14:textId="77777777" w:rsidR="002A71BB" w:rsidRDefault="002A71BB" w:rsidP="00FA10CA">
      <w:r>
        <w:separator/>
      </w:r>
    </w:p>
  </w:footnote>
  <w:footnote w:type="continuationSeparator" w:id="0">
    <w:p w14:paraId="75C59E71" w14:textId="77777777" w:rsidR="002A71BB" w:rsidRDefault="002A71BB" w:rsidP="00FA1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70176"/>
    <w:multiLevelType w:val="hybridMultilevel"/>
    <w:tmpl w:val="FDE86C44"/>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482AD2"/>
    <w:multiLevelType w:val="hybridMultilevel"/>
    <w:tmpl w:val="0FEAC2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C8B2367"/>
    <w:multiLevelType w:val="hybridMultilevel"/>
    <w:tmpl w:val="DB307A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4E64343"/>
    <w:multiLevelType w:val="hybridMultilevel"/>
    <w:tmpl w:val="59BCE5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C8D5F5E"/>
    <w:multiLevelType w:val="hybridMultilevel"/>
    <w:tmpl w:val="CD8608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4A562CB"/>
    <w:multiLevelType w:val="hybridMultilevel"/>
    <w:tmpl w:val="B1FECF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20C0730"/>
    <w:multiLevelType w:val="hybridMultilevel"/>
    <w:tmpl w:val="E104F9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12676570">
    <w:abstractNumId w:val="0"/>
  </w:num>
  <w:num w:numId="2" w16cid:durableId="676032087">
    <w:abstractNumId w:val="3"/>
  </w:num>
  <w:num w:numId="3" w16cid:durableId="1215241231">
    <w:abstractNumId w:val="1"/>
  </w:num>
  <w:num w:numId="4" w16cid:durableId="1572274982">
    <w:abstractNumId w:val="6"/>
  </w:num>
  <w:num w:numId="5" w16cid:durableId="341593395">
    <w:abstractNumId w:val="4"/>
  </w:num>
  <w:num w:numId="6" w16cid:durableId="1161429894">
    <w:abstractNumId w:val="5"/>
  </w:num>
  <w:num w:numId="7" w16cid:durableId="1480465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2B"/>
    <w:rsid w:val="000B5170"/>
    <w:rsid w:val="00161305"/>
    <w:rsid w:val="0016710C"/>
    <w:rsid w:val="001C46AB"/>
    <w:rsid w:val="00222921"/>
    <w:rsid w:val="0026475B"/>
    <w:rsid w:val="00294CF3"/>
    <w:rsid w:val="002A21AE"/>
    <w:rsid w:val="002A71BB"/>
    <w:rsid w:val="00325377"/>
    <w:rsid w:val="00361FFD"/>
    <w:rsid w:val="00536009"/>
    <w:rsid w:val="005C4F2E"/>
    <w:rsid w:val="006732E2"/>
    <w:rsid w:val="006A4719"/>
    <w:rsid w:val="006C5BF3"/>
    <w:rsid w:val="0071172E"/>
    <w:rsid w:val="00724EF1"/>
    <w:rsid w:val="00775924"/>
    <w:rsid w:val="00783BC7"/>
    <w:rsid w:val="007C54A7"/>
    <w:rsid w:val="00822374"/>
    <w:rsid w:val="008A51E2"/>
    <w:rsid w:val="008B38A9"/>
    <w:rsid w:val="008E18BD"/>
    <w:rsid w:val="00905E47"/>
    <w:rsid w:val="00905FC1"/>
    <w:rsid w:val="00914163"/>
    <w:rsid w:val="00A24B15"/>
    <w:rsid w:val="00A61A85"/>
    <w:rsid w:val="00A75462"/>
    <w:rsid w:val="00B7112B"/>
    <w:rsid w:val="00BD208F"/>
    <w:rsid w:val="00CC6106"/>
    <w:rsid w:val="00CD643A"/>
    <w:rsid w:val="00CE3BA1"/>
    <w:rsid w:val="00CE4EDC"/>
    <w:rsid w:val="00D025C0"/>
    <w:rsid w:val="00DE68F9"/>
    <w:rsid w:val="00DF48E1"/>
    <w:rsid w:val="00E62ECC"/>
    <w:rsid w:val="00FA10CA"/>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3B7A7"/>
  <w15:chartTrackingRefBased/>
  <w15:docId w15:val="{6A26E8EC-9FD4-4850-9B72-51C3423F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1E2"/>
    <w:pPr>
      <w:spacing w:after="0" w:line="240" w:lineRule="auto"/>
    </w:pPr>
    <w:rPr>
      <w:rFonts w:ascii="Times New Roman" w:hAnsi="Times New Roman"/>
      <w:sz w:val="28"/>
    </w:rPr>
  </w:style>
  <w:style w:type="paragraph" w:styleId="1">
    <w:name w:val="heading 1"/>
    <w:basedOn w:val="a"/>
    <w:next w:val="a"/>
    <w:link w:val="10"/>
    <w:uiPriority w:val="9"/>
    <w:qFormat/>
    <w:rsid w:val="00B7112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7112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7112B"/>
    <w:pPr>
      <w:keepNext/>
      <w:keepLines/>
      <w:spacing w:before="160" w:after="80" w:line="259" w:lineRule="auto"/>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7112B"/>
    <w:pPr>
      <w:keepNext/>
      <w:keepLines/>
      <w:spacing w:before="80" w:after="40" w:line="259" w:lineRule="auto"/>
      <w:outlineLvl w:val="3"/>
    </w:pPr>
    <w:rPr>
      <w:rFonts w:asciiTheme="minorHAnsi" w:eastAsiaTheme="majorEastAsia" w:hAnsiTheme="minorHAnsi" w:cstheme="majorBidi"/>
      <w:i/>
      <w:iCs/>
      <w:color w:val="2F5496" w:themeColor="accent1" w:themeShade="BF"/>
      <w:sz w:val="22"/>
    </w:rPr>
  </w:style>
  <w:style w:type="paragraph" w:styleId="5">
    <w:name w:val="heading 5"/>
    <w:basedOn w:val="a"/>
    <w:next w:val="a"/>
    <w:link w:val="50"/>
    <w:uiPriority w:val="9"/>
    <w:semiHidden/>
    <w:unhideWhenUsed/>
    <w:qFormat/>
    <w:rsid w:val="00B7112B"/>
    <w:pPr>
      <w:keepNext/>
      <w:keepLines/>
      <w:spacing w:before="80" w:after="40" w:line="259" w:lineRule="auto"/>
      <w:outlineLvl w:val="4"/>
    </w:pPr>
    <w:rPr>
      <w:rFonts w:asciiTheme="minorHAnsi" w:eastAsiaTheme="majorEastAsia" w:hAnsiTheme="minorHAnsi" w:cstheme="majorBidi"/>
      <w:color w:val="2F5496" w:themeColor="accent1" w:themeShade="BF"/>
      <w:sz w:val="22"/>
    </w:rPr>
  </w:style>
  <w:style w:type="paragraph" w:styleId="6">
    <w:name w:val="heading 6"/>
    <w:basedOn w:val="a"/>
    <w:next w:val="a"/>
    <w:link w:val="60"/>
    <w:uiPriority w:val="9"/>
    <w:semiHidden/>
    <w:unhideWhenUsed/>
    <w:qFormat/>
    <w:rsid w:val="00B7112B"/>
    <w:pPr>
      <w:keepNext/>
      <w:keepLines/>
      <w:spacing w:before="40" w:line="259" w:lineRule="auto"/>
      <w:outlineLvl w:val="5"/>
    </w:pPr>
    <w:rPr>
      <w:rFonts w:asciiTheme="minorHAnsi" w:eastAsiaTheme="majorEastAsia" w:hAnsiTheme="minorHAnsi" w:cstheme="majorBidi"/>
      <w:i/>
      <w:iCs/>
      <w:color w:val="595959" w:themeColor="text1" w:themeTint="A6"/>
      <w:sz w:val="22"/>
    </w:rPr>
  </w:style>
  <w:style w:type="paragraph" w:styleId="7">
    <w:name w:val="heading 7"/>
    <w:basedOn w:val="a"/>
    <w:next w:val="a"/>
    <w:link w:val="70"/>
    <w:uiPriority w:val="9"/>
    <w:semiHidden/>
    <w:unhideWhenUsed/>
    <w:qFormat/>
    <w:rsid w:val="00B7112B"/>
    <w:pPr>
      <w:keepNext/>
      <w:keepLines/>
      <w:spacing w:before="40" w:line="259" w:lineRule="auto"/>
      <w:outlineLvl w:val="6"/>
    </w:pPr>
    <w:rPr>
      <w:rFonts w:asciiTheme="minorHAnsi" w:eastAsiaTheme="majorEastAsia" w:hAnsiTheme="minorHAnsi" w:cstheme="majorBidi"/>
      <w:color w:val="595959" w:themeColor="text1" w:themeTint="A6"/>
      <w:sz w:val="22"/>
    </w:rPr>
  </w:style>
  <w:style w:type="paragraph" w:styleId="8">
    <w:name w:val="heading 8"/>
    <w:basedOn w:val="a"/>
    <w:next w:val="a"/>
    <w:link w:val="80"/>
    <w:uiPriority w:val="9"/>
    <w:semiHidden/>
    <w:unhideWhenUsed/>
    <w:qFormat/>
    <w:rsid w:val="00B7112B"/>
    <w:pPr>
      <w:keepNext/>
      <w:keepLines/>
      <w:spacing w:line="259" w:lineRule="auto"/>
      <w:outlineLvl w:val="7"/>
    </w:pPr>
    <w:rPr>
      <w:rFonts w:asciiTheme="minorHAnsi" w:eastAsiaTheme="majorEastAsia" w:hAnsiTheme="minorHAnsi" w:cstheme="majorBidi"/>
      <w:i/>
      <w:iCs/>
      <w:color w:val="272727" w:themeColor="text1" w:themeTint="D8"/>
      <w:sz w:val="22"/>
    </w:rPr>
  </w:style>
  <w:style w:type="paragraph" w:styleId="9">
    <w:name w:val="heading 9"/>
    <w:basedOn w:val="a"/>
    <w:next w:val="a"/>
    <w:link w:val="90"/>
    <w:uiPriority w:val="9"/>
    <w:semiHidden/>
    <w:unhideWhenUsed/>
    <w:qFormat/>
    <w:rsid w:val="00B7112B"/>
    <w:pPr>
      <w:keepNext/>
      <w:keepLines/>
      <w:spacing w:line="259" w:lineRule="auto"/>
      <w:outlineLvl w:val="8"/>
    </w:pPr>
    <w:rPr>
      <w:rFonts w:asciiTheme="minorHAnsi" w:eastAsiaTheme="majorEastAsia" w:hAnsiTheme="minorHAnsi" w:cstheme="majorBidi"/>
      <w:color w:val="272727" w:themeColor="text1" w:themeTint="D8"/>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12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112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112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112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112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112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12B"/>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12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12B"/>
    <w:rPr>
      <w:rFonts w:eastAsiaTheme="majorEastAsia" w:cstheme="majorBidi"/>
      <w:color w:val="272727" w:themeColor="text1" w:themeTint="D8"/>
    </w:rPr>
  </w:style>
  <w:style w:type="paragraph" w:styleId="a3">
    <w:name w:val="Title"/>
    <w:basedOn w:val="a"/>
    <w:next w:val="a"/>
    <w:link w:val="a4"/>
    <w:uiPriority w:val="10"/>
    <w:qFormat/>
    <w:rsid w:val="00B7112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711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12B"/>
    <w:pPr>
      <w:numPr>
        <w:ilvl w:val="1"/>
      </w:numPr>
      <w:spacing w:after="160" w:line="259" w:lineRule="auto"/>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7112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12B"/>
    <w:pPr>
      <w:spacing w:before="160" w:after="160" w:line="259" w:lineRule="auto"/>
      <w:jc w:val="center"/>
    </w:pPr>
    <w:rPr>
      <w:rFonts w:asciiTheme="minorHAnsi" w:hAnsiTheme="minorHAnsi"/>
      <w:i/>
      <w:iCs/>
      <w:color w:val="404040" w:themeColor="text1" w:themeTint="BF"/>
      <w:sz w:val="22"/>
    </w:rPr>
  </w:style>
  <w:style w:type="character" w:customStyle="1" w:styleId="22">
    <w:name w:val="Цитата 2 Знак"/>
    <w:basedOn w:val="a0"/>
    <w:link w:val="21"/>
    <w:uiPriority w:val="29"/>
    <w:rsid w:val="00B7112B"/>
    <w:rPr>
      <w:i/>
      <w:iCs/>
      <w:color w:val="404040" w:themeColor="text1" w:themeTint="BF"/>
    </w:rPr>
  </w:style>
  <w:style w:type="paragraph" w:styleId="a7">
    <w:name w:val="List Paragraph"/>
    <w:basedOn w:val="a"/>
    <w:uiPriority w:val="34"/>
    <w:qFormat/>
    <w:rsid w:val="00B7112B"/>
    <w:pPr>
      <w:spacing w:after="160" w:line="259" w:lineRule="auto"/>
      <w:ind w:left="720"/>
      <w:contextualSpacing/>
    </w:pPr>
    <w:rPr>
      <w:rFonts w:asciiTheme="minorHAnsi" w:hAnsiTheme="minorHAnsi"/>
      <w:sz w:val="22"/>
    </w:rPr>
  </w:style>
  <w:style w:type="character" w:styleId="a8">
    <w:name w:val="Intense Emphasis"/>
    <w:basedOn w:val="a0"/>
    <w:uiPriority w:val="21"/>
    <w:qFormat/>
    <w:rsid w:val="00B7112B"/>
    <w:rPr>
      <w:i/>
      <w:iCs/>
      <w:color w:val="2F5496" w:themeColor="accent1" w:themeShade="BF"/>
    </w:rPr>
  </w:style>
  <w:style w:type="paragraph" w:styleId="a9">
    <w:name w:val="Intense Quote"/>
    <w:basedOn w:val="a"/>
    <w:next w:val="a"/>
    <w:link w:val="aa"/>
    <w:uiPriority w:val="30"/>
    <w:qFormat/>
    <w:rsid w:val="00B7112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i/>
      <w:iCs/>
      <w:color w:val="2F5496" w:themeColor="accent1" w:themeShade="BF"/>
      <w:sz w:val="22"/>
    </w:rPr>
  </w:style>
  <w:style w:type="character" w:customStyle="1" w:styleId="aa">
    <w:name w:val="Выделенная цитата Знак"/>
    <w:basedOn w:val="a0"/>
    <w:link w:val="a9"/>
    <w:uiPriority w:val="30"/>
    <w:rsid w:val="00B7112B"/>
    <w:rPr>
      <w:i/>
      <w:iCs/>
      <w:color w:val="2F5496" w:themeColor="accent1" w:themeShade="BF"/>
    </w:rPr>
  </w:style>
  <w:style w:type="character" w:styleId="ab">
    <w:name w:val="Intense Reference"/>
    <w:basedOn w:val="a0"/>
    <w:uiPriority w:val="32"/>
    <w:qFormat/>
    <w:rsid w:val="00B7112B"/>
    <w:rPr>
      <w:b/>
      <w:bCs/>
      <w:smallCaps/>
      <w:color w:val="2F5496" w:themeColor="accent1" w:themeShade="BF"/>
      <w:spacing w:val="5"/>
    </w:rPr>
  </w:style>
  <w:style w:type="paragraph" w:styleId="ac">
    <w:name w:val="header"/>
    <w:basedOn w:val="a"/>
    <w:link w:val="ad"/>
    <w:uiPriority w:val="99"/>
    <w:unhideWhenUsed/>
    <w:rsid w:val="00FA10CA"/>
    <w:pPr>
      <w:tabs>
        <w:tab w:val="center" w:pos="4677"/>
        <w:tab w:val="right" w:pos="9355"/>
      </w:tabs>
    </w:pPr>
  </w:style>
  <w:style w:type="character" w:customStyle="1" w:styleId="ad">
    <w:name w:val="Верхний колонтитул Знак"/>
    <w:basedOn w:val="a0"/>
    <w:link w:val="ac"/>
    <w:uiPriority w:val="99"/>
    <w:rsid w:val="00FA10CA"/>
    <w:rPr>
      <w:rFonts w:ascii="Times New Roman" w:hAnsi="Times New Roman"/>
      <w:sz w:val="28"/>
    </w:rPr>
  </w:style>
  <w:style w:type="paragraph" w:styleId="ae">
    <w:name w:val="footer"/>
    <w:basedOn w:val="a"/>
    <w:link w:val="af"/>
    <w:uiPriority w:val="99"/>
    <w:unhideWhenUsed/>
    <w:rsid w:val="00FA10CA"/>
    <w:pPr>
      <w:tabs>
        <w:tab w:val="center" w:pos="4677"/>
        <w:tab w:val="right" w:pos="9355"/>
      </w:tabs>
    </w:pPr>
  </w:style>
  <w:style w:type="character" w:customStyle="1" w:styleId="af">
    <w:name w:val="Нижний колонтитул Знак"/>
    <w:basedOn w:val="a0"/>
    <w:link w:val="ae"/>
    <w:uiPriority w:val="99"/>
    <w:rsid w:val="00FA10CA"/>
    <w:rPr>
      <w:rFonts w:ascii="Times New Roman" w:hAnsi="Times New Roman"/>
      <w:sz w:val="28"/>
    </w:rPr>
  </w:style>
  <w:style w:type="paragraph" w:styleId="af0">
    <w:name w:val="Normal (Web)"/>
    <w:basedOn w:val="a"/>
    <w:uiPriority w:val="99"/>
    <w:semiHidden/>
    <w:unhideWhenUsed/>
    <w:rsid w:val="008A51E2"/>
    <w:pPr>
      <w:spacing w:before="100" w:beforeAutospacing="1" w:after="100" w:afterAutospacing="1"/>
    </w:pPr>
    <w:rPr>
      <w:rFonts w:eastAsia="Times New Roman" w:cs="Times New Roman"/>
      <w:kern w:val="0"/>
      <w:sz w:val="24"/>
      <w:szCs w:val="24"/>
      <w:lang w:eastAsia="ru-BY"/>
      <w14:ligatures w14:val="none"/>
    </w:rPr>
  </w:style>
  <w:style w:type="character" w:styleId="af1">
    <w:name w:val="Hyperlink"/>
    <w:basedOn w:val="a0"/>
    <w:uiPriority w:val="99"/>
    <w:unhideWhenUsed/>
    <w:rsid w:val="008A51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lncrb@brest.b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ravo.by/document/?guid=12551&amp;p0=P32100367&amp;p1=1"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503</Words>
  <Characters>2871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a a</cp:lastModifiedBy>
  <cp:revision>3</cp:revision>
  <cp:lastPrinted>2026-10-11T14:38:00Z</cp:lastPrinted>
  <dcterms:created xsi:type="dcterms:W3CDTF">2026-10-11T14:43:00Z</dcterms:created>
  <dcterms:modified xsi:type="dcterms:W3CDTF">2026-10-13T06:17:00Z</dcterms:modified>
</cp:coreProperties>
</file>